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2A2826" w:rsidRPr="00496C9C" w:rsidRDefault="002A2826" w:rsidP="002A2826">
      <w:pPr>
        <w:spacing w:before="120" w:after="600"/>
        <w:ind w:right="141"/>
        <w:jc w:val="center"/>
        <w:rPr>
          <w:rFonts w:ascii="Arial Black" w:hAnsi="Arial Black"/>
          <w:caps/>
          <w:color w:val="1F497D" w:themeColor="text2"/>
          <w:sz w:val="36"/>
          <w:szCs w:val="36"/>
        </w:rPr>
      </w:pPr>
      <w:r w:rsidRPr="00706BAA">
        <w:rPr>
          <w:rFonts w:ascii="Arial Black" w:hAnsi="Arial Black"/>
          <w:caps/>
          <w:color w:val="1F497D" w:themeColor="text2"/>
          <w:sz w:val="36"/>
          <w:szCs w:val="36"/>
        </w:rPr>
        <w:t>A</w:t>
      </w:r>
      <w:r>
        <w:rPr>
          <w:rFonts w:ascii="Arial Black" w:hAnsi="Arial Black"/>
          <w:caps/>
          <w:color w:val="1F497D" w:themeColor="text2"/>
          <w:sz w:val="36"/>
          <w:szCs w:val="36"/>
        </w:rPr>
        <w:t>AC 04/SI/2019</w:t>
      </w:r>
      <w:r w:rsidRPr="00706BAA">
        <w:rPr>
          <w:rFonts w:ascii="Arial Black" w:hAnsi="Arial Black"/>
          <w:caps/>
          <w:color w:val="1F497D" w:themeColor="text2"/>
          <w:sz w:val="36"/>
          <w:szCs w:val="36"/>
        </w:rPr>
        <w:t xml:space="preserve"> </w:t>
      </w:r>
      <w:bookmarkStart w:id="0" w:name="_GoBack"/>
      <w:bookmarkEnd w:id="0"/>
    </w:p>
    <w:p w:rsidR="00D62BEC" w:rsidRDefault="00D62BEC" w:rsidP="000F1886">
      <w:pPr>
        <w:spacing w:before="120" w:after="600"/>
        <w:rPr>
          <w:rFonts w:ascii="Arial Black" w:hAnsi="Arial Black"/>
          <w:caps/>
          <w:color w:val="1F497D" w:themeColor="text2"/>
          <w:sz w:val="36"/>
          <w:szCs w:val="36"/>
        </w:rPr>
      </w:pPr>
    </w:p>
    <w:p w:rsidR="00D62BEC" w:rsidRPr="00846893" w:rsidRDefault="00D62BEC" w:rsidP="002A2826">
      <w:pPr>
        <w:spacing w:before="120" w:after="600"/>
        <w:jc w:val="center"/>
        <w:rPr>
          <w:rFonts w:ascii="Arial Black" w:hAnsi="Arial Black"/>
          <w:caps/>
          <w:color w:val="1F497D" w:themeColor="text2"/>
          <w:sz w:val="32"/>
          <w:szCs w:val="32"/>
        </w:rPr>
      </w:pPr>
      <w:r w:rsidRPr="00846893">
        <w:rPr>
          <w:rFonts w:ascii="Arial Black" w:hAnsi="Arial Black"/>
          <w:caps/>
          <w:color w:val="1F497D" w:themeColor="text2"/>
          <w:sz w:val="32"/>
          <w:szCs w:val="32"/>
        </w:rPr>
        <w:t>Sistema de Incentivos à INVESTIGAÇÃO E DESENVOLVIMENTO TECNOLÓGICO (SI I&amp;DT)</w:t>
      </w:r>
    </w:p>
    <w:p w:rsidR="002A2826" w:rsidRDefault="002A2826" w:rsidP="002A2826">
      <w:pPr>
        <w:pStyle w:val="Ttulodondice"/>
        <w:tabs>
          <w:tab w:val="center" w:pos="4252"/>
        </w:tabs>
        <w:ind w:right="-1"/>
        <w:rPr>
          <w:rFonts w:ascii="Arial Black" w:eastAsia="Times New Roman" w:hAnsi="Arial Black" w:cs="Times New Roman"/>
          <w:b w:val="0"/>
          <w:bCs w:val="0"/>
          <w:caps/>
          <w:color w:val="1F497D" w:themeColor="text2"/>
          <w:sz w:val="32"/>
          <w:szCs w:val="32"/>
        </w:rPr>
      </w:pPr>
    </w:p>
    <w:p w:rsidR="002A2826" w:rsidRDefault="002A2826" w:rsidP="002A2826">
      <w:pPr>
        <w:pStyle w:val="Ttulodondice"/>
        <w:tabs>
          <w:tab w:val="center" w:pos="4252"/>
        </w:tabs>
        <w:ind w:right="-1"/>
        <w:jc w:val="center"/>
        <w:rPr>
          <w:rFonts w:ascii="Arial Black" w:hAnsi="Arial Black"/>
          <w:smallCaps/>
          <w:color w:val="1F497D" w:themeColor="text2"/>
        </w:rPr>
      </w:pPr>
      <w:proofErr w:type="spellStart"/>
      <w:r w:rsidRPr="00D61ABF">
        <w:rPr>
          <w:rFonts w:ascii="Arial Black" w:hAnsi="Arial Black"/>
          <w:smallCaps/>
          <w:color w:val="1F497D" w:themeColor="text2"/>
        </w:rPr>
        <w:t>P</w:t>
      </w:r>
      <w:r>
        <w:rPr>
          <w:rFonts w:ascii="Arial Black" w:hAnsi="Arial Black"/>
          <w:smallCaps/>
          <w:color w:val="1F497D" w:themeColor="text2"/>
        </w:rPr>
        <w:t>rojetos</w:t>
      </w:r>
      <w:proofErr w:type="spellEnd"/>
      <w:r>
        <w:rPr>
          <w:rFonts w:ascii="Arial Black" w:hAnsi="Arial Black"/>
          <w:smallCaps/>
          <w:color w:val="1F497D" w:themeColor="text2"/>
        </w:rPr>
        <w:t xml:space="preserve"> em</w:t>
      </w:r>
      <w:r w:rsidRPr="00D61ABF">
        <w:rPr>
          <w:rFonts w:ascii="Arial Black" w:hAnsi="Arial Black"/>
          <w:smallCaps/>
          <w:color w:val="1F497D" w:themeColor="text2"/>
        </w:rPr>
        <w:t xml:space="preserve"> </w:t>
      </w:r>
      <w:proofErr w:type="spellStart"/>
      <w:r w:rsidRPr="00D61ABF">
        <w:rPr>
          <w:rFonts w:ascii="Arial Black" w:hAnsi="Arial Black"/>
          <w:smallCaps/>
          <w:color w:val="1F497D" w:themeColor="text2"/>
        </w:rPr>
        <w:t>C</w:t>
      </w:r>
      <w:r>
        <w:rPr>
          <w:rFonts w:ascii="Arial Black" w:hAnsi="Arial Black"/>
          <w:smallCaps/>
          <w:color w:val="1F497D" w:themeColor="text2"/>
        </w:rPr>
        <w:t>opromoção</w:t>
      </w:r>
      <w:proofErr w:type="spellEnd"/>
      <w:r>
        <w:rPr>
          <w:rFonts w:ascii="Arial Black" w:hAnsi="Arial Black"/>
          <w:smallCaps/>
          <w:color w:val="1F497D" w:themeColor="text2"/>
        </w:rPr>
        <w:t xml:space="preserve"> – Parcerias Internacionais</w:t>
      </w:r>
    </w:p>
    <w:p w:rsidR="002A2826" w:rsidRDefault="002A2826" w:rsidP="002A2826">
      <w:pPr>
        <w:jc w:val="center"/>
      </w:pPr>
    </w:p>
    <w:p w:rsidR="002A2826" w:rsidRDefault="002A2826" w:rsidP="002A2826">
      <w:pPr>
        <w:spacing w:line="360" w:lineRule="auto"/>
        <w:ind w:right="1134"/>
        <w:jc w:val="center"/>
        <w:rPr>
          <w:rFonts w:ascii="Trebuchet MS" w:hAnsi="Trebuchet MS" w:cstheme="minorHAnsi"/>
          <w:b/>
          <w:color w:val="1F497D" w:themeColor="text2"/>
          <w:sz w:val="28"/>
          <w:szCs w:val="28"/>
        </w:rPr>
      </w:pPr>
    </w:p>
    <w:p w:rsidR="002A2826" w:rsidRPr="00841841" w:rsidRDefault="002A2826" w:rsidP="002A2826">
      <w:pPr>
        <w:spacing w:line="360" w:lineRule="auto"/>
        <w:ind w:right="-1"/>
        <w:jc w:val="center"/>
        <w:rPr>
          <w:rFonts w:ascii="Trebuchet MS" w:hAnsi="Trebuchet MS" w:cstheme="minorHAnsi"/>
          <w:b/>
          <w:color w:val="1F497D" w:themeColor="text2"/>
          <w:sz w:val="28"/>
          <w:szCs w:val="28"/>
        </w:rPr>
      </w:pPr>
      <w:r w:rsidRPr="00841841">
        <w:rPr>
          <w:rFonts w:ascii="Trebuchet MS" w:hAnsi="Trebuchet MS" w:cstheme="minorHAnsi"/>
          <w:b/>
          <w:color w:val="1F497D" w:themeColor="text2"/>
          <w:sz w:val="28"/>
          <w:szCs w:val="28"/>
        </w:rPr>
        <w:t>Programas MIT-Portugal, UTA-Portugal e CMU-Portugal</w:t>
      </w: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0F1886" w:rsidRDefault="00D62BEC" w:rsidP="000F1886">
      <w:pPr>
        <w:ind w:right="11"/>
        <w:jc w:val="center"/>
        <w:rPr>
          <w:rFonts w:ascii="Trebuchet MS" w:hAnsi="Trebuchet MS" w:cs="Arial"/>
          <w:noProof/>
          <w:color w:val="404040" w:themeColor="text1" w:themeTint="BF"/>
          <w:sz w:val="28"/>
          <w:szCs w:val="52"/>
        </w:rPr>
      </w:pPr>
      <w:r>
        <w:rPr>
          <w:noProof/>
        </w:rPr>
        <w:drawing>
          <wp:inline distT="0" distB="0" distL="0" distR="0" wp14:anchorId="06BFCBA1" wp14:editId="06F3A2DA">
            <wp:extent cx="3038475" cy="11315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038475" cy="1131570"/>
                    </a:xfrm>
                    <a:prstGeom prst="rect">
                      <a:avLst/>
                    </a:prstGeom>
                  </pic:spPr>
                </pic:pic>
              </a:graphicData>
            </a:graphic>
          </wp:inline>
        </w:drawing>
      </w:r>
    </w:p>
    <w:p w:rsidR="00D62BEC" w:rsidRPr="00B168A1" w:rsidRDefault="002A2826" w:rsidP="00D62BEC">
      <w:pPr>
        <w:autoSpaceDE w:val="0"/>
        <w:autoSpaceDN w:val="0"/>
        <w:adjustRightInd w:val="0"/>
        <w:spacing w:after="720" w:line="360" w:lineRule="auto"/>
        <w:jc w:val="center"/>
        <w:rPr>
          <w:rFonts w:ascii="Arial Black" w:hAnsi="Arial Black" w:cs="Arial"/>
          <w:noProof/>
          <w:color w:val="1F497D" w:themeColor="text2"/>
          <w:sz w:val="24"/>
          <w:szCs w:val="24"/>
        </w:rPr>
      </w:pPr>
      <w:r>
        <w:rPr>
          <w:rFonts w:ascii="Arial Black" w:hAnsi="Arial Black" w:cs="Arial"/>
          <w:noProof/>
          <w:color w:val="1F497D" w:themeColor="text2"/>
          <w:sz w:val="24"/>
          <w:szCs w:val="24"/>
        </w:rPr>
        <w:t>13</w:t>
      </w:r>
      <w:r w:rsidR="00D62BEC" w:rsidRPr="00B168A1">
        <w:rPr>
          <w:rFonts w:ascii="Arial Black" w:hAnsi="Arial Black" w:cs="Arial"/>
          <w:noProof/>
          <w:color w:val="1F497D" w:themeColor="text2"/>
          <w:sz w:val="24"/>
          <w:szCs w:val="24"/>
        </w:rPr>
        <w:t xml:space="preserve"> de </w:t>
      </w:r>
      <w:r>
        <w:rPr>
          <w:rFonts w:ascii="Arial Black" w:hAnsi="Arial Black" w:cs="Arial"/>
          <w:noProof/>
          <w:color w:val="1F497D" w:themeColor="text2"/>
          <w:sz w:val="24"/>
          <w:szCs w:val="24"/>
        </w:rPr>
        <w:t>março</w:t>
      </w:r>
      <w:r w:rsidR="00D62BEC" w:rsidRPr="00B168A1">
        <w:rPr>
          <w:rFonts w:ascii="Arial Black" w:hAnsi="Arial Black" w:cs="Arial"/>
          <w:noProof/>
          <w:color w:val="1F497D" w:themeColor="text2"/>
          <w:sz w:val="24"/>
          <w:szCs w:val="24"/>
        </w:rPr>
        <w:t xml:space="preserve"> de 201</w:t>
      </w:r>
      <w:r>
        <w:rPr>
          <w:rFonts w:ascii="Arial Black" w:hAnsi="Arial Black" w:cs="Arial"/>
          <w:noProof/>
          <w:color w:val="1F497D" w:themeColor="text2"/>
          <w:sz w:val="24"/>
          <w:szCs w:val="24"/>
        </w:rPr>
        <w:t>9</w:t>
      </w:r>
    </w:p>
    <w:p w:rsidR="00D62BEC" w:rsidRDefault="00D62BEC" w:rsidP="00FF559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Default="00D62BEC" w:rsidP="00D62BEC">
      <w:pPr>
        <w:jc w:val="both"/>
        <w:rPr>
          <w:rFonts w:ascii="Trebuchet MS" w:hAnsi="Trebuchet MS"/>
          <w:sz w:val="22"/>
          <w:szCs w:val="22"/>
        </w:rPr>
      </w:pPr>
      <w:r w:rsidRPr="00A625A7">
        <w:rPr>
          <w:rFonts w:ascii="Trebuchet MS" w:hAnsi="Trebuchet MS"/>
          <w:sz w:val="22"/>
          <w:szCs w:val="22"/>
        </w:rPr>
        <w:t xml:space="preserve">Aplicável a projetos de I&amp;DT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w:t>
      </w:r>
      <w:proofErr w:type="spellStart"/>
      <w:r w:rsidRPr="00A625A7">
        <w:rPr>
          <w:rFonts w:ascii="Trebuchet MS" w:hAnsi="Trebuchet MS"/>
          <w:sz w:val="22"/>
          <w:szCs w:val="22"/>
        </w:rPr>
        <w:t>projetos</w:t>
      </w:r>
      <w:proofErr w:type="spellEnd"/>
      <w:r w:rsidRPr="00A625A7">
        <w:rPr>
          <w:rFonts w:ascii="Trebuchet MS" w:hAnsi="Trebuchet MS"/>
          <w:sz w:val="22"/>
          <w:szCs w:val="22"/>
        </w:rPr>
        <w:t xml:space="preserve"> mobilizadores, e </w:t>
      </w:r>
      <w:proofErr w:type="spellStart"/>
      <w:r w:rsidRPr="00A625A7">
        <w:rPr>
          <w:rFonts w:ascii="Trebuchet MS" w:hAnsi="Trebuchet MS"/>
          <w:sz w:val="22"/>
          <w:szCs w:val="22"/>
        </w:rPr>
        <w:t>projetos</w:t>
      </w:r>
      <w:proofErr w:type="spellEnd"/>
      <w:r w:rsidRPr="00A625A7">
        <w:rPr>
          <w:rFonts w:ascii="Trebuchet MS" w:hAnsi="Trebuchet MS"/>
          <w:sz w:val="22"/>
          <w:szCs w:val="22"/>
        </w:rPr>
        <w:t xml:space="preserve"> demonstradores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I&amp;DT (SI I&amp;DT).</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D62BEC">
      <w:pPr>
        <w:pStyle w:val="Default"/>
        <w:pageBreakBefore/>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Possuir, para os custos com pessoal reportados no projeto (como custos reais ou por via de métodos simplificados), um sistema </w:t>
      </w:r>
      <w:proofErr w:type="spellStart"/>
      <w:r w:rsidRPr="00125E9E">
        <w:rPr>
          <w:sz w:val="22"/>
          <w:szCs w:val="22"/>
        </w:rPr>
        <w:t>auditável</w:t>
      </w:r>
      <w:proofErr w:type="spellEnd"/>
      <w:r w:rsidRPr="00125E9E">
        <w:rPr>
          <w:sz w:val="22"/>
          <w:szCs w:val="22"/>
        </w:rPr>
        <w:t xml:space="preserve"> de registo de tempo de trabalho numa base diária, semanal ou mensal,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afectos à respectiva </w:t>
      </w:r>
      <w:proofErr w:type="spellStart"/>
      <w:r w:rsidRPr="00125E9E">
        <w:rPr>
          <w:sz w:val="22"/>
          <w:szCs w:val="22"/>
        </w:rPr>
        <w:t>atividade</w:t>
      </w:r>
      <w:proofErr w:type="spellEnd"/>
      <w:r w:rsidRPr="00125E9E">
        <w:rPr>
          <w:sz w:val="22"/>
          <w:szCs w:val="22"/>
        </w:rPr>
        <w:t xml:space="preserv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Pr="00125E9E"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D62BEC" w:rsidRPr="00125E9E" w:rsidRDefault="00D62BEC" w:rsidP="00D62BEC">
      <w:pPr>
        <w:pStyle w:val="Default"/>
        <w:spacing w:before="120" w:after="120"/>
        <w:ind w:left="720"/>
        <w:jc w:val="both"/>
        <w:rPr>
          <w:sz w:val="22"/>
          <w:szCs w:val="22"/>
        </w:rPr>
      </w:pPr>
      <w:r w:rsidRPr="00125E9E">
        <w:rPr>
          <w:sz w:val="22"/>
          <w:szCs w:val="22"/>
        </w:rPr>
        <w:t xml:space="preserve">Caso o projeto beneficie da majoração </w:t>
      </w:r>
      <w:r w:rsidRPr="00125E9E">
        <w:rPr>
          <w:b/>
          <w:sz w:val="22"/>
          <w:szCs w:val="22"/>
        </w:rPr>
        <w:t>“Cooperação com entidades não empresariais do sistema de I&amp;I”</w:t>
      </w:r>
      <w:r w:rsidRPr="00125E9E">
        <w:rPr>
          <w:sz w:val="22"/>
          <w:szCs w:val="22"/>
        </w:rPr>
        <w:t>, o contrato de consórcio tem de salvaguardar as obrigações a ela inerentes em matéria de confidencialidade e defesa da propriedade intelectual. Em concreto, o contrato tem de prever expressamente que “</w:t>
      </w:r>
      <w:proofErr w:type="gramStart"/>
      <w:r w:rsidRPr="00125E9E">
        <w:rPr>
          <w:sz w:val="22"/>
          <w:szCs w:val="22"/>
        </w:rPr>
        <w:t>a(s</w:t>
      </w:r>
      <w:proofErr w:type="gramEnd"/>
      <w:r w:rsidRPr="00125E9E">
        <w:rPr>
          <w:sz w:val="22"/>
          <w:szCs w:val="22"/>
        </w:rPr>
        <w:t>) entidade(s) não empresarial(ais) do sistema de I&amp;I têm o direito de publicar os resultados do projeto que resultem da I&amp;D por ela(s) realizada”.</w:t>
      </w:r>
    </w:p>
    <w:p w:rsidR="00D62BEC" w:rsidRPr="00125E9E" w:rsidRDefault="00D62BEC" w:rsidP="00D62BEC">
      <w:pPr>
        <w:pStyle w:val="Default"/>
        <w:spacing w:before="120" w:after="120"/>
        <w:ind w:left="720"/>
        <w:jc w:val="both"/>
        <w:rPr>
          <w:sz w:val="22"/>
          <w:szCs w:val="22"/>
        </w:rPr>
      </w:pPr>
    </w:p>
    <w:p w:rsidR="00D62BEC" w:rsidRPr="00125E9E" w:rsidRDefault="00D62BEC" w:rsidP="00D62BEC">
      <w:pPr>
        <w:pStyle w:val="Default"/>
        <w:spacing w:before="120" w:after="120"/>
        <w:ind w:left="720"/>
        <w:jc w:val="both"/>
        <w:rPr>
          <w:sz w:val="22"/>
          <w:szCs w:val="22"/>
        </w:rPr>
      </w:pPr>
      <w:r w:rsidRPr="00125E9E">
        <w:rPr>
          <w:sz w:val="22"/>
          <w:szCs w:val="22"/>
        </w:rPr>
        <w:t xml:space="preserve">Quando o projeto beneficie da majoração </w:t>
      </w:r>
      <w:r w:rsidRPr="00125E9E">
        <w:rPr>
          <w:b/>
          <w:sz w:val="22"/>
          <w:szCs w:val="22"/>
        </w:rPr>
        <w:t>“Divulgação ampla dos resultados”</w:t>
      </w:r>
      <w:r w:rsidRPr="00125E9E">
        <w:rPr>
          <w:sz w:val="22"/>
          <w:szCs w:val="22"/>
        </w:rPr>
        <w:t xml:space="preserve">,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w:t>
      </w:r>
      <w:proofErr w:type="gramStart"/>
      <w:r w:rsidRPr="00125E9E">
        <w:rPr>
          <w:sz w:val="22"/>
          <w:szCs w:val="22"/>
        </w:rPr>
        <w:t>software</w:t>
      </w:r>
      <w:proofErr w:type="gramEnd"/>
      <w:r w:rsidRPr="00125E9E">
        <w:rPr>
          <w:sz w:val="22"/>
          <w:szCs w:val="22"/>
        </w:rPr>
        <w:t xml:space="preserve"> gratuito ou público”.</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120" w:after="240"/>
        <w:ind w:left="720"/>
        <w:jc w:val="both"/>
        <w:rPr>
          <w:sz w:val="22"/>
          <w:szCs w:val="22"/>
        </w:rPr>
      </w:pPr>
      <w:r w:rsidRPr="00125E9E">
        <w:rPr>
          <w:sz w:val="22"/>
          <w:szCs w:val="22"/>
        </w:rPr>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w:t>
      </w:r>
      <w:r w:rsidRPr="00125E9E">
        <w:rPr>
          <w:sz w:val="22"/>
          <w:szCs w:val="22"/>
        </w:rPr>
        <w:lastRenderedPageBreak/>
        <w:t xml:space="preserve">consórcio tem de salvaguardar as obrigações associadas à divulgação de resultados e propriedade intelectual, estabelecendo pelo menos uma das seguintes condições: </w:t>
      </w:r>
    </w:p>
    <w:p w:rsidR="00D62BEC" w:rsidRPr="00125E9E" w:rsidRDefault="00D62BEC" w:rsidP="00D62BE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(cf.</w:t>
      </w:r>
      <w:proofErr w:type="gramEnd"/>
      <w:r w:rsidRPr="00125E9E">
        <w:rPr>
          <w:sz w:val="22"/>
          <w:szCs w:val="22"/>
        </w:rPr>
        <w:t xml:space="preserve">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a)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“Quaisquer DPI resultantes do projeto, bem como direitos de acesso conexos, são afectados a diferentes parceiros da colaboração de uma forma que reflita adequadamente os seus pacotes de trabalho, contribuições e respectivos interesses”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b)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c) do RECI)</w:t>
      </w:r>
    </w:p>
    <w:p w:rsidR="00D62BEC" w:rsidRPr="00125E9E" w:rsidRDefault="00D62BEC" w:rsidP="00D62BEC">
      <w:pPr>
        <w:pStyle w:val="Default"/>
        <w:spacing w:before="120"/>
        <w:ind w:left="100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lastRenderedPageBreak/>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o disposto na alínea c) do art.º 12º do RECI, designadamente os bens e serviços adquiridos no âmbito de projetos apoiados não podem, durante o período de vigência do termo de aceitação (contrato de concessão de incentivos no caso de projetos candidatos ao </w:t>
      </w:r>
      <w:proofErr w:type="gramStart"/>
      <w:r w:rsidRPr="00125E9E">
        <w:rPr>
          <w:sz w:val="22"/>
          <w:szCs w:val="22"/>
        </w:rPr>
        <w:t>RCI) ,</w:t>
      </w:r>
      <w:proofErr w:type="gramEnd"/>
      <w:r w:rsidRPr="00125E9E">
        <w:rPr>
          <w:sz w:val="22"/>
          <w:szCs w:val="22"/>
        </w:rPr>
        <w:t xml:space="preserve"> ser afectos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pStyle w:val="Default"/>
        <w:spacing w:before="120" w:after="240"/>
        <w:jc w:val="both"/>
        <w:rPr>
          <w:rFonts w:cs="Times New Roman"/>
          <w:b/>
          <w:color w:val="1F497D" w:themeColor="text2"/>
          <w:sz w:val="22"/>
          <w:szCs w:val="22"/>
        </w:rPr>
      </w:pPr>
      <w:r w:rsidRPr="00125E9E">
        <w:rPr>
          <w:rFonts w:cs="Times New Roman"/>
          <w:b/>
          <w:color w:val="1F497D" w:themeColor="text2"/>
          <w:sz w:val="22"/>
          <w:szCs w:val="22"/>
        </w:rPr>
        <w:t xml:space="preserve">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w:t>
      </w:r>
      <w:proofErr w:type="gramStart"/>
      <w:r w:rsidRPr="00125E9E">
        <w:rPr>
          <w:rFonts w:cs="Times New Roman"/>
          <w:b/>
          <w:color w:val="1F497D" w:themeColor="text2"/>
          <w:sz w:val="22"/>
          <w:szCs w:val="22"/>
        </w:rPr>
        <w:t>acima ,não</w:t>
      </w:r>
      <w:proofErr w:type="gramEnd"/>
      <w:r w:rsidRPr="00125E9E">
        <w:rPr>
          <w:rFonts w:cs="Times New Roman"/>
          <w:b/>
          <w:color w:val="1F497D" w:themeColor="text2"/>
          <w:sz w:val="22"/>
          <w:szCs w:val="22"/>
        </w:rPr>
        <w:t xml:space="preserve"> podem ser conflituosas entre si, sob pena da não atribuição das respetivas majorações</w:t>
      </w: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sidR="002A2826">
        <w:rPr>
          <w:rFonts w:ascii="Trebuchet MS" w:hAnsi="Trebuchet MS"/>
          <w:sz w:val="22"/>
          <w:szCs w:val="22"/>
        </w:rPr>
        <w:t>13</w:t>
      </w:r>
      <w:r w:rsidRPr="00125E9E">
        <w:rPr>
          <w:rFonts w:ascii="Trebuchet MS" w:hAnsi="Trebuchet MS"/>
          <w:sz w:val="22"/>
          <w:szCs w:val="22"/>
        </w:rPr>
        <w:t xml:space="preserve"> de </w:t>
      </w:r>
      <w:proofErr w:type="spellStart"/>
      <w:r w:rsidR="002A2826">
        <w:rPr>
          <w:rFonts w:ascii="Trebuchet MS" w:hAnsi="Trebuchet MS"/>
          <w:sz w:val="22"/>
          <w:szCs w:val="22"/>
        </w:rPr>
        <w:t>março</w:t>
      </w:r>
      <w:proofErr w:type="spellEnd"/>
      <w:r w:rsidRPr="00125E9E">
        <w:rPr>
          <w:rFonts w:ascii="Trebuchet MS" w:hAnsi="Trebuchet MS"/>
          <w:sz w:val="22"/>
          <w:szCs w:val="22"/>
        </w:rPr>
        <w:t xml:space="preserve"> de 201</w:t>
      </w:r>
      <w:r w:rsidR="002A2826">
        <w:rPr>
          <w:rFonts w:ascii="Trebuchet MS" w:hAnsi="Trebuchet MS"/>
          <w:sz w:val="22"/>
          <w:szCs w:val="22"/>
        </w:rPr>
        <w:t>9</w:t>
      </w:r>
    </w:p>
    <w:p w:rsidR="00D62BEC" w:rsidRDefault="00D62BEC" w:rsidP="00FF559C">
      <w:pPr>
        <w:pStyle w:val="Rodap"/>
        <w:spacing w:after="120"/>
        <w:jc w:val="center"/>
        <w:rPr>
          <w:rFonts w:ascii="Trebuchet MS" w:hAnsi="Trebuchet MS" w:cs="Arial"/>
          <w:b/>
          <w:noProof/>
          <w:color w:val="004587"/>
          <w:sz w:val="24"/>
          <w:szCs w:val="24"/>
        </w:rPr>
      </w:pPr>
    </w:p>
    <w:sectPr w:rsidR="00D62BEC" w:rsidSect="002A2826">
      <w:headerReference w:type="default" r:id="rId10"/>
      <w:footerReference w:type="default" r:id="rId11"/>
      <w:headerReference w:type="first" r:id="rId12"/>
      <w:pgSz w:w="11906" w:h="16838"/>
      <w:pgMar w:top="2410" w:right="1133"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FF5" w:rsidRDefault="00136FF5" w:rsidP="004630CE">
      <w:r>
        <w:separator/>
      </w:r>
    </w:p>
  </w:endnote>
  <w:endnote w:type="continuationSeparator" w:id="0">
    <w:p w:rsidR="00136FF5" w:rsidRDefault="00136FF5" w:rsidP="0046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sidR="002A2826">
              <w:rPr>
                <w:rFonts w:ascii="Trebuchet MS" w:hAnsi="Trebuchet MS" w:cs="Arial"/>
                <w:noProof/>
                <w:color w:val="006600"/>
                <w:sz w:val="18"/>
                <w:szCs w:val="52"/>
              </w:rPr>
              <w:t>2</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sidR="002A2826">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FF5" w:rsidRDefault="00136FF5" w:rsidP="004630CE">
      <w:r>
        <w:separator/>
      </w:r>
    </w:p>
  </w:footnote>
  <w:footnote w:type="continuationSeparator" w:id="0">
    <w:p w:rsidR="00136FF5" w:rsidRDefault="00136FF5" w:rsidP="0046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F5" w:rsidRDefault="00136FF5" w:rsidP="000323A0">
    <w:pPr>
      <w:pStyle w:val="Cabealho"/>
      <w:jc w:val="center"/>
    </w:pPr>
    <w:r w:rsidRPr="000927A5">
      <w:rPr>
        <w:rFonts w:ascii="Trebuchet MS" w:hAnsi="Trebuchet MS"/>
        <w:b/>
        <w:noProof/>
        <w:sz w:val="12"/>
        <w:szCs w:val="12"/>
      </w:rPr>
      <w:drawing>
        <wp:inline distT="0" distB="0" distL="0" distR="0" wp14:anchorId="7B097F86" wp14:editId="366E335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EC" w:rsidRDefault="00D62BEC" w:rsidP="00D62BEC">
    <w:pPr>
      <w:pStyle w:val="Cabealho"/>
      <w:jc w:val="center"/>
    </w:pPr>
    <w:r>
      <w:rPr>
        <w:noProof/>
      </w:rPr>
      <w:drawing>
        <wp:inline distT="0" distB="0" distL="0" distR="0" wp14:anchorId="3CB352AA" wp14:editId="46770BFD">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1886"/>
    <w:rsid w:val="000F4D1D"/>
    <w:rsid w:val="00100B6D"/>
    <w:rsid w:val="00100DA9"/>
    <w:rsid w:val="00102A2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2826"/>
    <w:rsid w:val="002A3BFB"/>
    <w:rsid w:val="002A57CA"/>
    <w:rsid w:val="002A6D92"/>
    <w:rsid w:val="002B7BD3"/>
    <w:rsid w:val="002C10ED"/>
    <w:rsid w:val="002C24AF"/>
    <w:rsid w:val="002C2D24"/>
    <w:rsid w:val="002C74CD"/>
    <w:rsid w:val="002C780C"/>
    <w:rsid w:val="002D085F"/>
    <w:rsid w:val="002D6901"/>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7426"/>
    <w:rsid w:val="00587969"/>
    <w:rsid w:val="00592607"/>
    <w:rsid w:val="00593610"/>
    <w:rsid w:val="00595C86"/>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2E1E"/>
    <w:rsid w:val="0060357B"/>
    <w:rsid w:val="0060442C"/>
    <w:rsid w:val="006063DD"/>
    <w:rsid w:val="00606636"/>
    <w:rsid w:val="0060791E"/>
    <w:rsid w:val="00610E09"/>
    <w:rsid w:val="00624E53"/>
    <w:rsid w:val="00627EF6"/>
    <w:rsid w:val="00640533"/>
    <w:rsid w:val="0064064B"/>
    <w:rsid w:val="00644FAA"/>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559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7694">
      <w:bodyDiv w:val="1"/>
      <w:marLeft w:val="0"/>
      <w:marRight w:val="0"/>
      <w:marTop w:val="0"/>
      <w:marBottom w:val="0"/>
      <w:divBdr>
        <w:top w:val="none" w:sz="0" w:space="0" w:color="auto"/>
        <w:left w:val="none" w:sz="0" w:space="0" w:color="auto"/>
        <w:bottom w:val="none" w:sz="0" w:space="0" w:color="auto"/>
        <w:right w:val="none" w:sz="0" w:space="0" w:color="auto"/>
      </w:divBdr>
    </w:div>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EDA0-2885-4B37-89A9-A93FCC1C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2473</Words>
  <Characters>13356</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Rui Antunes</cp:lastModifiedBy>
  <cp:revision>2</cp:revision>
  <cp:lastPrinted>2015-11-30T19:06:00Z</cp:lastPrinted>
  <dcterms:created xsi:type="dcterms:W3CDTF">2019-03-20T17:08:00Z</dcterms:created>
  <dcterms:modified xsi:type="dcterms:W3CDTF">2019-03-20T17:08:00Z</dcterms:modified>
</cp:coreProperties>
</file>